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СВОДНЫЙ ОТЧЕТ</w:t>
      </w:r>
      <w:r/>
    </w:p>
    <w:p>
      <w:pPr>
        <w:pStyle w:val="84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 результатах проведения оценки регулирующего воздействия проекта </w:t>
      </w:r>
      <w:r/>
    </w:p>
    <w:p>
      <w:pPr>
        <w:pStyle w:val="84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муниципального нормативного правового акта</w:t>
      </w:r>
      <w:r/>
    </w:p>
    <w:p>
      <w:pPr>
        <w:pStyle w:val="84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4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4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1.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ab/>
        <w:t xml:space="preserve">Общая информация.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1.1.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Регулирующий орган: 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Управление жилищно-коммунального хозяйства, транспорта и связи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администрации муниципального образования Абинский район.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Вид и наименование проекта муниципального нормативно правового акта: 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роект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остановлени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 администрации муниципального образования Абинский район «Об утверждении административного регламента предостав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ления  муниципальной услуги «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</w:rPr>
        <w:t xml:space="preserve">Согласование создания места (площадки) накопления твердых коммунальных отходов и включение их в реестр мест (площадок) накопления твердых коммунальных отходов на территории сельских поселений Абинского района»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(дале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е - 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роект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).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1.3.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Предполагаемая дата вступления в силу муниципального нормативного правового акта: 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На следующий день после дня его официального опубликования.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1.4.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Краткое описание проблемы, на решение которой направлено предлагаемое правовое регулирование: 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Невозможность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 создани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 мест (площадок) накопления твердых коммунальных отходов и включения их в реестр мест (площадок) накопления твердых коммунальных отходов на территории сельских поселений Абинского района без 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утверждения единого 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порядка</w:t>
      </w:r>
      <w:r>
        <w:rPr>
          <w:sz w:val="28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1.5.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Краткое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описание целей предполагаемого правового регулирования: </w:t>
      </w:r>
      <w:r>
        <w:rPr>
          <w:highlight w:val="none"/>
        </w:rPr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u w:val="single"/>
        </w:rPr>
        <w:t xml:space="preserve">Определение процедуры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согласования создания места (площадки) накопления твердых коммунальных отходов и включение их в реестр мест (площадок) накопления твердых коммунальных отходов на территории сел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ьских поселений Абинского района</w:t>
      </w:r>
      <w:r>
        <w:rPr>
          <w:highlight w:val="none"/>
        </w:rPr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1.6.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Краткое описание содержания предлагаемого правового регулирования: </w:t>
      </w:r>
      <w:r>
        <w:rPr>
          <w:highlight w:val="none"/>
        </w:rPr>
      </w:r>
      <w:r/>
    </w:p>
    <w:p>
      <w:pPr>
        <w:pStyle w:val="849"/>
        <w:ind w:firstLine="708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роектом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 определяется процедура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согласования создания места (площадки) накопления твердых коммунальных отходов и включение их в реестр мест (пл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ощадок) накопления твердых коммунальных отходов на территории сельских поселений Абинского района. </w:t>
      </w:r>
      <w:r>
        <w:rPr>
          <w:highlight w:val="none"/>
        </w:rPr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1.6.1. Степень регулирующего воздействия 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высокая.</w:t>
      </w:r>
      <w:r>
        <w:rPr>
          <w:highlight w:val="none"/>
        </w:rPr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1.7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Контактная информация исполнителя в регулирующ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 органе: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Ф.И.О.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Барская Марина Викторовна, начальник управления жилищно-коммунального хозяйства, тран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спорта и связи администрации муниципального образования Абинский район.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Тел.: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(86150) 5-21-92, (86150) 5-13-94, (86150) 4-15-75 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highlight w:val="white"/>
        </w:rPr>
        <w:t xml:space="preserve">abin_usgt@mail.ru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ab/>
        <w:t xml:space="preserve">Описание проблемы, на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решение которой направлено предлагаемое правовое регулирование: 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Невозможность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 создани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 мест (площадок) накопления твердых коммунальных отходов и включения их в реестр мест (площадок) накопления твердых коммунальных отходов на территории сельских поселени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й Абинского района без 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утверждения единого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 порядка</w:t>
      </w:r>
      <w:r>
        <w:rPr>
          <w:sz w:val="28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Формулировка проблемы: </w:t>
      </w:r>
      <w:r>
        <w:rPr>
          <w:highlight w:val="none"/>
        </w:rPr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Невозможность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 создани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 мест (площадок) накопления твердых коммунальных отходов и включения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</w:rPr>
        <w:t xml:space="preserve"> их в реестр мест (площадок) накопления твердых коммунальных отходов на территории 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</w:rPr>
        <w:t xml:space="preserve">ельских поселений Абинского района без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утверждения единого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порядка</w:t>
      </w:r>
      <w:r>
        <w:rPr>
          <w:sz w:val="28"/>
          <w:highlight w:val="white"/>
        </w:rPr>
        <w:t xml:space="preserve">.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 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Проект нормативного правового акта содержит положения, предусмотренные  законодательством Российской Федерации  и Краснодарского края  о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необходимости усовершенствования процесса в </w:t>
      </w: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 xml:space="preserve">организации работы по обустройству мест (площадок) накопления твёрдых комму</w:t>
      </w: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 xml:space="preserve">нальных отходов и ведения их реестра на территории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образования Абинский район. 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2.3.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Субъекты общественных отношений, заинтересованных                            в устранении проблемы, их количественная оценка:</w:t>
      </w:r>
      <w:r/>
    </w:p>
    <w:p>
      <w:pPr>
        <w:pStyle w:val="84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Физические и юридические лица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, либо их уполномоченные представители, проживающие и осуществляющие свою деятельность на территории муниципального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 образования Абинский район.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2.4.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Характеристика негативных эффектов, возникающих в связи                   с наличием проблемы, их количест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венная оценка: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7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Отсутствие данного нормативного правого акта приведет к конфликту с действующим законодательством РФ в сфере обращения с твердыми коммунальными отходами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7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ab/>
        <w:t xml:space="preserve">2.5.</w:t>
      </w:r>
      <w:r>
        <w:rPr>
          <w:rFonts w:ascii="Times New Roman" w:hAnsi="Times New Roman" w:cs="Times New Roman"/>
          <w:sz w:val="28"/>
          <w:szCs w:val="27"/>
          <w:highlight w:val="white"/>
        </w:rPr>
        <w:tab/>
        <w:t xml:space="preserve">Причины возникновения проблемы и факторы, поддерживающие              </w:t>
      </w:r>
      <w:r>
        <w:rPr>
          <w:rFonts w:ascii="Times New Roman" w:hAnsi="Times New Roman" w:cs="Times New Roman"/>
          <w:sz w:val="28"/>
          <w:szCs w:val="27"/>
          <w:highlight w:val="white"/>
        </w:rPr>
        <w:t xml:space="preserve">ее существование: </w:t>
      </w:r>
      <w:r/>
    </w:p>
    <w:p>
      <w:pPr>
        <w:pStyle w:val="849"/>
        <w:ind w:firstLine="708"/>
        <w:jc w:val="both"/>
        <w:rPr>
          <w:rFonts w:ascii="Times New Roman" w:hAnsi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Невозможность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 создания мест (площадок) накопления твердых коммунальных отходов и включения их в реестр мест (площадок) накопления твердых коммунальных отходов на территории сельских поселений Абинского района без 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утверждения единого порядка</w:t>
      </w:r>
      <w:r>
        <w:rPr>
          <w:rFonts w:ascii="Times New Roman" w:hAnsi="Times New Roman"/>
          <w:sz w:val="28"/>
          <w:szCs w:val="28"/>
          <w:highlight w:val="none"/>
          <w:u w:val="single"/>
        </w:rPr>
        <w:t xml:space="preserve">.</w:t>
      </w:r>
      <w:r>
        <w:rPr>
          <w:highlight w:val="none"/>
        </w:rPr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7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 xml:space="preserve">2.6.</w:t>
      </w:r>
      <w:r>
        <w:rPr>
          <w:rFonts w:ascii="Times New Roman" w:hAnsi="Times New Roman" w:cs="Times New Roman"/>
          <w:sz w:val="28"/>
          <w:szCs w:val="27"/>
          <w:highlight w:val="white"/>
        </w:rPr>
        <w:tab/>
        <w:t xml:space="preserve">Причины невозможности решения проблемы участниками соответствующих отношений самостоятельно, без вмешательства органов местного самоуправления мун</w:t>
      </w:r>
      <w:r>
        <w:rPr>
          <w:rFonts w:ascii="Times New Roman" w:hAnsi="Times New Roman" w:cs="Times New Roman"/>
          <w:sz w:val="28"/>
          <w:szCs w:val="27"/>
          <w:highlight w:val="white"/>
        </w:rPr>
        <w:t xml:space="preserve">иципального образования Абинский район: </w:t>
      </w:r>
      <w:r/>
    </w:p>
    <w:p>
      <w:pPr>
        <w:pStyle w:val="849"/>
        <w:ind w:firstLine="709"/>
        <w:jc w:val="both"/>
        <w:rPr>
          <w:rFonts w:ascii="Times New Roman" w:hAnsi="Times New Roman" w:cs="Times New Roman"/>
          <w:sz w:val="28"/>
          <w:szCs w:val="27"/>
          <w:highlight w:val="white"/>
          <w:u w:val="singl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Решение указанных проблем входит в полномочия органов местного самоуправления муниципального образования Абинский  район. 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7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ab/>
        <w:t xml:space="preserve">2.7.</w:t>
      </w:r>
      <w:r>
        <w:rPr>
          <w:rFonts w:ascii="Times New Roman" w:hAnsi="Times New Roman" w:cs="Times New Roman"/>
          <w:sz w:val="28"/>
          <w:szCs w:val="27"/>
          <w:highlight w:val="white"/>
        </w:rPr>
        <w:tab/>
        <w:t xml:space="preserve">Опыт решения аналогичных проблем в других субъектах Российской Федерации: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7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ab/>
      </w:r>
      <w:r>
        <w:rPr>
          <w:rFonts w:ascii="Times New Roman" w:hAnsi="Times New Roman" w:cs="Times New Roman"/>
          <w:sz w:val="28"/>
          <w:szCs w:val="27"/>
          <w:highlight w:val="white"/>
          <w:u w:val="single"/>
        </w:rPr>
        <w:t xml:space="preserve">Нормативно </w:t>
      </w:r>
      <w:r>
        <w:rPr>
          <w:rFonts w:ascii="Times New Roman" w:hAnsi="Times New Roman" w:cs="Times New Roman"/>
          <w:sz w:val="28"/>
          <w:szCs w:val="27"/>
          <w:highlight w:val="white"/>
          <w:u w:val="single"/>
        </w:rPr>
        <w:t xml:space="preserve">правовыми актами субъектов Российской Федерации разрабатываются аналогичные порядки 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</w:rPr>
        <w:t xml:space="preserve">огласования создания места (площадки) накопления твердых коммунальных отходов и включения их в реестр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7"/>
          <w:highlight w:val="none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7"/>
          <w:highlight w:val="white"/>
          <w:u w:val="single"/>
        </w:rPr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7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7"/>
          <w:highlight w:val="none"/>
          <w:u w:val="none"/>
        </w:rPr>
        <w:tab/>
        <w:t xml:space="preserve">Постановление администрации г. Сочи от 31.12.2019 г. № 2243 «Об утверждении Порядка создания мест (площадок) накопления ТКО на территории муниципального образования города-курорта Сочи»;</w:t>
      </w:r>
      <w:r>
        <w:rPr>
          <w:rFonts w:ascii="Times New Roman" w:hAnsi="Times New Roman" w:cs="Times New Roman"/>
          <w:sz w:val="28"/>
          <w:szCs w:val="27"/>
          <w:highlight w:val="none"/>
          <w:u w:val="none"/>
        </w:rPr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7"/>
          <w:highlight w:val="white"/>
          <w:u w:val="none"/>
        </w:rPr>
      </w:pPr>
      <w:r>
        <w:rPr>
          <w:rFonts w:ascii="Times New Roman" w:hAnsi="Times New Roman" w:cs="Times New Roman"/>
          <w:sz w:val="28"/>
          <w:szCs w:val="27"/>
          <w:highlight w:val="none"/>
          <w:u w:val="none"/>
        </w:rPr>
        <w:tab/>
        <w:t xml:space="preserve">Постановление администрации муниципального образования Гулькевичский района от 125.08.2022 г. № 1248 «Об утверждении Порядка создания </w:t>
      </w:r>
      <w:r>
        <w:rPr>
          <w:rFonts w:ascii="Times New Roman" w:hAnsi="Times New Roman" w:cs="Times New Roman"/>
          <w:sz w:val="28"/>
          <w:szCs w:val="27"/>
          <w:highlight w:val="none"/>
          <w:u w:val="none"/>
        </w:rPr>
        <w:t xml:space="preserve">мест (площадок) накопления ТКО на территории </w:t>
      </w:r>
      <w:r>
        <w:rPr>
          <w:rFonts w:ascii="Times New Roman" w:hAnsi="Times New Roman" w:cs="Times New Roman"/>
          <w:sz w:val="28"/>
          <w:szCs w:val="27"/>
          <w:highlight w:val="none"/>
          <w:u w:val="none"/>
        </w:rPr>
        <w:t xml:space="preserve">сельских поселений Гулькевичского района и Правил формирования и ведения реестра мест</w:t>
      </w:r>
      <w:r>
        <w:rPr>
          <w:rFonts w:ascii="Times New Roman" w:hAnsi="Times New Roman" w:cs="Times New Roman"/>
          <w:sz w:val="28"/>
          <w:szCs w:val="27"/>
          <w:highlight w:val="none"/>
          <w:u w:val="none"/>
        </w:rPr>
        <w:t xml:space="preserve"> (площадок) накопления ТКО на территории </w:t>
      </w:r>
      <w:r>
        <w:rPr>
          <w:rFonts w:ascii="Times New Roman" w:hAnsi="Times New Roman" w:cs="Times New Roman"/>
          <w:sz w:val="28"/>
          <w:szCs w:val="27"/>
          <w:highlight w:val="none"/>
          <w:u w:val="none"/>
        </w:rPr>
        <w:t xml:space="preserve">муниципального образования Гулькевичский район».</w:t>
      </w:r>
      <w:r>
        <w:rPr>
          <w:rFonts w:ascii="Times New Roman" w:hAnsi="Times New Roman" w:cs="Times New Roman"/>
          <w:sz w:val="28"/>
          <w:szCs w:val="27"/>
          <w:highlight w:val="none"/>
          <w:u w:val="none"/>
        </w:rPr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7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7"/>
          <w:highlight w:val="white"/>
          <w:u w:val="single"/>
        </w:rPr>
      </w:r>
      <w:r>
        <w:rPr>
          <w:rFonts w:ascii="Times New Roman" w:hAnsi="Times New Roman" w:cs="Times New Roman"/>
          <w:sz w:val="28"/>
          <w:szCs w:val="27"/>
          <w:highlight w:val="white"/>
        </w:rPr>
        <w:t xml:space="preserve">2.8. Источни</w:t>
      </w:r>
      <w:r>
        <w:rPr>
          <w:rFonts w:ascii="Times New Roman" w:hAnsi="Times New Roman" w:cs="Times New Roman"/>
          <w:sz w:val="28"/>
          <w:szCs w:val="27"/>
          <w:highlight w:val="white"/>
        </w:rPr>
        <w:t xml:space="preserve">ки данных: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7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ab/>
      </w:r>
      <w:r>
        <w:rPr>
          <w:rFonts w:ascii="Times New Roman" w:hAnsi="Times New Roman" w:cs="Times New Roman"/>
          <w:sz w:val="28"/>
          <w:szCs w:val="27"/>
          <w:highlight w:val="white"/>
          <w:u w:val="single"/>
        </w:rPr>
        <w:t xml:space="preserve">Официальные сайты региональных органов государственной власти Российской Федерации, информационно-консультационные правовые системы (Консультант - Плюс, Консультант - Плюс регион, Гарант).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7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ab/>
        <w:t xml:space="preserve">2.9.</w:t>
      </w:r>
      <w:r>
        <w:rPr>
          <w:rFonts w:ascii="Times New Roman" w:hAnsi="Times New Roman" w:cs="Times New Roman"/>
          <w:sz w:val="28"/>
          <w:szCs w:val="27"/>
          <w:highlight w:val="white"/>
        </w:rPr>
        <w:tab/>
        <w:t xml:space="preserve">Иная информация о проблеме: </w:t>
      </w:r>
      <w:r>
        <w:rPr>
          <w:rFonts w:ascii="Times New Roman" w:hAnsi="Times New Roman" w:cs="Times New Roman"/>
          <w:sz w:val="28"/>
          <w:szCs w:val="27"/>
          <w:highlight w:val="white"/>
          <w:u w:val="single"/>
        </w:rPr>
        <w:t xml:space="preserve">отсутствует.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  <w:r/>
    </w:p>
    <w:p>
      <w:pPr>
        <w:pStyle w:val="849"/>
        <w:jc w:val="both"/>
        <w:rPr>
          <w:rFonts w:ascii="Times New Roman" w:hAnsi="Times New Roman" w:cs="Times New Roman"/>
          <w:b/>
          <w:sz w:val="28"/>
          <w:szCs w:val="27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ab/>
      </w:r>
      <w:bookmarkStart w:id="0" w:name="sub_10003"/>
      <w:r>
        <w:rPr>
          <w:rFonts w:ascii="Times New Roman" w:hAnsi="Times New Roman" w:cs="Times New Roman"/>
          <w:b/>
          <w:sz w:val="28"/>
          <w:szCs w:val="27"/>
          <w:highlight w:val="white"/>
        </w:rPr>
        <w:t xml:space="preserve">3. Опр</w:t>
      </w:r>
      <w:r>
        <w:rPr>
          <w:rFonts w:ascii="Times New Roman" w:hAnsi="Times New Roman" w:cs="Times New Roman"/>
          <w:b/>
          <w:sz w:val="28"/>
          <w:szCs w:val="27"/>
          <w:highlight w:val="white"/>
        </w:rPr>
        <w:t xml:space="preserve">еделение целей предлагаемого правового регулирования                           и индикаторов для оценки их достижения</w:t>
      </w:r>
      <w:bookmarkEnd w:id="0"/>
      <w:r>
        <w:rPr>
          <w:rFonts w:ascii="Times New Roman" w:hAnsi="Times New Roman" w:cs="Times New Roman"/>
          <w:b/>
          <w:sz w:val="28"/>
          <w:szCs w:val="27"/>
          <w:highlight w:val="white"/>
        </w:rPr>
        <w:t xml:space="preserve">: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7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</w:r>
      <w:r/>
    </w:p>
    <w:tbl>
      <w:tblPr>
        <w:tblW w:w="9747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723"/>
        <w:gridCol w:w="3372"/>
      </w:tblGrid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5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3.1. Цели предлагаемого правового регулирования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23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/>
            <w:bookmarkStart w:id="1" w:name="sub_100032"/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3.2. Сроки достижения целей предлагаемого правового регулирования</w:t>
            </w:r>
            <w:bookmarkEnd w:id="1"/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37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3.3. Периодичность мониторинга достижения целей предлагаемого правового регулирования</w:t>
            </w:r>
            <w:r/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5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u w:val="none"/>
              </w:rPr>
              <w:t xml:space="preserve">Определение процедуры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  <w:u w:val="none"/>
              </w:rPr>
              <w:t xml:space="preserve">согласования создания места (площадки) накопления твердых коммунальных отходов и включение их в реестр мест (площадок) накопления твердых коммунальных отходов на территории сельских поселений Абинского района</w:t>
            </w:r>
            <w:r>
              <w:rPr>
                <w:u w:val="none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723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на следующий день после дня его </w:t>
            </w: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опубликования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37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по мере создания  нового места (площадки)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  <w:t xml:space="preserve">накопления твёрдых коммунальных отходов</w:t>
            </w:r>
            <w:r/>
          </w:p>
        </w:tc>
      </w:tr>
    </w:tbl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3.4.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Действующие нормативные правовые акты, поручения, другие решения, из которых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вытекает необходимость разработки прилагаемого правового регулирования в данной области, которые определяют необходимостью постановки указанных целей: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В соответствии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 п. 14 статьи 15 Федерального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 закона от 6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октября 2003 г. № 131-ФЗ «Об общих принципах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организации местного самоуправления в Российской Федерации»,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 Федеральным законом от  27 июля 2010 г.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  <w:highlight w:val="white"/>
        </w:rPr>
        <w:t xml:space="preserve"> 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остановлением Правительства Российской Федерации 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т 31 августа 2018 г.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№ 1039 «Об утверждении Правил обустройства мест (площадок) накопления твёрдых коммунальных отходов и ведения их реестра»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- нормативно-правовые акты).</w:t>
      </w:r>
      <w:r>
        <w:rPr>
          <w:highlight w:val="none"/>
        </w:rPr>
      </w:r>
      <w:r/>
    </w:p>
    <w:p>
      <w:pPr>
        <w:pStyle w:val="849"/>
        <w:ind w:firstLine="708"/>
        <w:jc w:val="both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3.5  Основание для разработки проекта акта (действующие нормативно правовые акты, поручения, другие решения, из 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оторых вытекает необходимость разработки  предлагаемого правового регулирования в данной области и которые определяют необходимость постановки указанных целей): </w:t>
      </w:r>
      <w:r/>
    </w:p>
    <w:p>
      <w:pPr>
        <w:pStyle w:val="849"/>
        <w:ind w:firstLine="708"/>
        <w:jc w:val="both"/>
        <w:rPr>
          <w:rFonts w:ascii="Times New Roman" w:hAnsi="Times New Roman" w:cs="Times New Roman" w:eastAsia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u w:val="single"/>
        </w:rPr>
        <w:t xml:space="preserve">В соответствии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нормати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вно-правовые актами.</w:t>
      </w:r>
      <w:r>
        <w:rPr>
          <w:rFonts w:ascii="Times New Roman" w:hAnsi="Times New Roman" w:cs="Times New Roman" w:eastAsia="Times New Roman"/>
          <w:sz w:val="28"/>
          <w:szCs w:val="28"/>
          <w:highlight w:val="yellow"/>
          <w:u w:val="single"/>
        </w:rPr>
      </w:r>
      <w:r/>
    </w:p>
    <w:p>
      <w:pPr>
        <w:jc w:val="both"/>
        <w:spacing w:lineRule="auto" w:line="24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</w:t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3.6  Перечень муниципальных нормативных правовых актов, подлежащих п</w:t>
      </w:r>
      <w:r>
        <w:rPr>
          <w:rFonts w:ascii="Times New Roman" w:hAnsi="Times New Roman"/>
          <w:sz w:val="28"/>
          <w:szCs w:val="28"/>
          <w:highlight w:val="white"/>
        </w:rPr>
        <w:t xml:space="preserve">ризнанию утратившими силу, изменению или принятию в связи с принятием проекта соответствующего акта: нет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4.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ab/>
        <w:t xml:space="preserve">Качественная характеристика и оценка численности потенциальных адресатов предлагаемого правового регулирования                 (их групп):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7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</w:r>
      <w:r/>
    </w:p>
    <w:tbl>
      <w:tblPr>
        <w:tblW w:w="9795" w:type="dxa"/>
        <w:tblInd w:w="-34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2271"/>
        <w:gridCol w:w="3100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424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/>
            <w:bookmarkStart w:id="2" w:name="sub_100041"/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2"/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71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4.2. Количество участников группы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00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4.3. Источники данных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424" w:type="dxa"/>
            <w:vAlign w:val="center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highlight w:val="white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u w:val="none"/>
              </w:rPr>
              <w:t xml:space="preserve">Физические и юридические лица, либо их уполномоченные представители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u w:val="none"/>
              </w:rPr>
              <w:t xml:space="preserve">, проживающие и осуществляющие свою деятельность на территории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u w:val="none"/>
              </w:rPr>
              <w:t xml:space="preserve"> образования Абинский район.</w:t>
            </w:r>
            <w:r>
              <w:rPr>
                <w:u w:val="none"/>
              </w:rPr>
            </w:r>
            <w:r/>
          </w:p>
          <w:p>
            <w:pPr>
              <w:pStyle w:val="849"/>
              <w:rPr>
                <w:rFonts w:ascii="Times New Roman" w:hAnsi="Times New Roman" w:cs="Times New Roman"/>
                <w:sz w:val="28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u w:val="none"/>
              </w:rPr>
            </w:r>
            <w:r>
              <w:rPr>
                <w:u w:val="none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71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неограниченное количество лиц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База данных ЕГРЮЛ ЕГРИП</w:t>
            </w:r>
            <w:r/>
          </w:p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/>
          </w:p>
        </w:tc>
      </w:tr>
    </w:tbl>
    <w:p>
      <w:pPr>
        <w:pStyle w:val="849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5.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ab/>
        <w:t xml:space="preserve">Изменение функций (полномочий, обязанностей, прав) органов местного самоуправления муници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пального образования Абинский район, а также порядка их реализации в связи с введением предлагаемого правового регулирования: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tbl>
      <w:tblPr>
        <w:tblW w:w="10143" w:type="dxa"/>
        <w:tblInd w:w="-14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236"/>
        <w:gridCol w:w="1486"/>
        <w:gridCol w:w="2376"/>
        <w:gridCol w:w="1697"/>
        <w:gridCol w:w="1666"/>
      </w:tblGrid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8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/>
            <w:bookmarkStart w:id="3" w:name="sub_100051"/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5.1. Наименование функции (полномочия, обязанности </w:t>
            </w:r>
            <w:r/>
          </w:p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или права)</w:t>
            </w:r>
            <w:bookmarkEnd w:id="3"/>
            <w:r/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5.2. Характер функции (новая / изменяемая / отменяемая)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7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5.3. Предполагаемый порядок реализации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5.4. Оценка изменения трудовых затрат (чел./час в год), изменения численности сотрудников (чел.)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66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5.5. Оценка изменения потребностей в других ресурсах</w:t>
            </w:r>
            <w:r/>
          </w:p>
        </w:tc>
      </w:tr>
      <w:tr>
        <w:trPr>
          <w:trHeight w:val="314"/>
        </w:trPr>
        <w:tc>
          <w:tcPr>
            <w:gridSpan w:val="6"/>
            <w:tcBorders>
              <w:top w:val="single" w:sz="4" w:space="0" w:color="auto"/>
              <w:bottom w:val="single" w:sz="4" w:space="0" w:color="auto"/>
            </w:tcBorders>
            <w:tcW w:w="10143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Управление ЖКХ, транспорта и связи администрации муниципального об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разования Абинский район</w:t>
            </w:r>
            <w:r/>
          </w:p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689" w:type="dxa"/>
            <w:vMerge w:val="restart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none"/>
                <w:u w:val="none"/>
              </w:rPr>
              <w:t xml:space="preserve">согласование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  <w:u w:val="none"/>
              </w:rPr>
              <w:t xml:space="preserve"> места (площадки) накопления твёрдых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  <w:u w:val="none"/>
              </w:rPr>
              <w:t xml:space="preserve">коммунальных отходов и ведения их реестра на территории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  <w:u w:val="none"/>
              </w:rPr>
              <w:t xml:space="preserve">сельских поселений Абинского района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  <w:u w:val="none"/>
              </w:rPr>
              <w:t xml:space="preserve">муниципального образования Абинский район</w:t>
            </w:r>
            <w:r>
              <w:rPr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новая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rPr>
                <w:rFonts w:ascii="Times New Roman" w:hAnsi="Times New Roman" w:cs="Times New Roman" w:eastAsia="Times New Roman"/>
                <w:color w:val="00000A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A"/>
                <w:sz w:val="28"/>
                <w:szCs w:val="28"/>
                <w:lang w:eastAsia="ar-SA"/>
              </w:rPr>
              <w:t xml:space="preserve">Прием </w:t>
            </w:r>
            <w:r>
              <w:rPr>
                <w:rFonts w:ascii="Times New Roman" w:hAnsi="Times New Roman" w:cs="Times New Roman" w:eastAsia="Times New Roman"/>
                <w:color w:val="00000A"/>
                <w:sz w:val="28"/>
                <w:szCs w:val="28"/>
                <w:lang w:eastAsia="ar-SA"/>
              </w:rPr>
              <w:t xml:space="preserve">заявления;</w:t>
            </w:r>
            <w:r/>
          </w:p>
          <w:p>
            <w:pPr>
              <w:pStyle w:val="849"/>
              <w:jc w:val="left"/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z w:val="28"/>
                <w:szCs w:val="28"/>
                <w:lang w:eastAsia="ar-SA"/>
              </w:rPr>
              <w:t xml:space="preserve">согласование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  <w:u w:val="none"/>
              </w:rPr>
              <w:t xml:space="preserve">создания места (площадки) накопления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  <w:u w:val="none"/>
              </w:rPr>
              <w:t xml:space="preserve">ТКО; 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  <w:u w:val="none"/>
              </w:rPr>
            </w:r>
            <w:r/>
          </w:p>
          <w:p>
            <w:pPr>
              <w:pStyle w:val="849"/>
              <w:jc w:val="left"/>
              <w:rPr>
                <w:rFonts w:ascii="Times New Roman" w:hAnsi="Times New Roman" w:cs="Times New Roman"/>
                <w:sz w:val="28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  <w:u w:val="none"/>
              </w:rPr>
              <w:t xml:space="preserve">включение места (площадки) в реестр 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отсутствует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669" w:type="dxa"/>
            <w:vMerge w:val="restart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отсутствует</w:t>
            </w:r>
            <w:r/>
          </w:p>
        </w:tc>
      </w:tr>
    </w:tbl>
    <w:p>
      <w:pPr>
        <w:pStyle w:val="849"/>
        <w:jc w:val="both"/>
        <w:rPr>
          <w:rFonts w:ascii="Times New Roman" w:hAnsi="Times New Roman" w:cs="Times New Roman"/>
          <w:sz w:val="28"/>
          <w:szCs w:val="27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6.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ab/>
        <w:t xml:space="preserve">Оценка дополнительных расходов (доходов) местного бюджета (бюджета муниципального образования Абинский район), связанных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 введением предлагаемого правового регулирования:</w:t>
      </w:r>
      <w:r>
        <w:rPr>
          <w:sz w:val="28"/>
          <w:highlight w:val="white"/>
        </w:rPr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7"/>
          <w:highlight w:val="white"/>
        </w:rPr>
      </w:r>
      <w:r>
        <w:rPr>
          <w:sz w:val="28"/>
          <w:highlight w:val="white"/>
        </w:rPr>
      </w:r>
      <w:r/>
    </w:p>
    <w:tbl>
      <w:tblPr>
        <w:tblW w:w="9940" w:type="dxa"/>
        <w:tblInd w:w="-34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3500"/>
        <w:gridCol w:w="2940"/>
      </w:tblGrid>
      <w:tr>
        <w:trPr/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6.1. Наименование функции (полномочия, обязанности или права) (в соответствии с </w:t>
            </w:r>
            <w:hyperlink w:tooltip="#sub_100051" w:anchor="sub_100051" w:history="1">
              <w:r>
                <w:rPr>
                  <w:rStyle w:val="860"/>
                  <w:rFonts w:ascii="Times New Roman" w:hAnsi="Times New Roman"/>
                  <w:b w:val="false"/>
                  <w:color w:val="auto"/>
                  <w:sz w:val="28"/>
                  <w:szCs w:val="24"/>
                  <w:highlight w:val="white"/>
                </w:rPr>
                <w:t xml:space="preserve">подпунктом 5.1 пункта 5</w:t>
              </w:r>
            </w:hyperlink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 настоящего сводного отчёта)</w:t>
            </w:r>
            <w:r>
              <w:rPr>
                <w:sz w:val="28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6.2. Виды расходов (возможных поступлений местного бюджета (бюджета муниципального образования Абинский район)</w:t>
            </w:r>
            <w:r>
              <w:rPr>
                <w:sz w:val="28"/>
                <w:highlight w:val="white"/>
              </w:rPr>
            </w:r>
            <w:r/>
          </w:p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>
              <w:rPr>
                <w:sz w:val="28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6.3. Количественная оценка расходов и возможных поступлений, млн. рублей</w:t>
            </w:r>
            <w:r>
              <w:rPr>
                <w:sz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white"/>
              </w:rPr>
              <w:t xml:space="preserve">1</w:t>
            </w:r>
            <w:r>
              <w:rPr>
                <w:sz w:val="28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white"/>
              </w:rPr>
              <w:t xml:space="preserve">2</w:t>
            </w:r>
            <w:r>
              <w:rPr>
                <w:sz w:val="28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white"/>
              </w:rPr>
              <w:t xml:space="preserve">3</w:t>
            </w:r>
            <w:r>
              <w:rPr>
                <w:sz w:val="28"/>
                <w:highlight w:val="white"/>
              </w:rPr>
            </w:r>
            <w:r/>
          </w:p>
        </w:tc>
      </w:tr>
      <w:tr>
        <w:trPr>
          <w:trHeight w:val="344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940" w:type="dxa"/>
            <w:vAlign w:val="center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1. Управление жилищно-коммунального хозяйства, транспорта и связи администрации муниципального образования Абинский район</w:t>
            </w:r>
            <w:r>
              <w:rPr>
                <w:sz w:val="28"/>
                <w:highlight w:val="white"/>
              </w:rPr>
            </w:r>
            <w:r/>
          </w:p>
        </w:tc>
      </w:tr>
      <w:tr>
        <w:trPr>
          <w:trHeight w:val="805"/>
        </w:trPr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rPr>
                <w:rFonts w:ascii="Times New Roman" w:hAnsi="Times New Roman" w:cs="Times New Roman"/>
                <w:sz w:val="28"/>
                <w:highlight w:val="white"/>
                <w:u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  <w:t xml:space="preserve">согласование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  <w:t xml:space="preserve"> места (площадки) накопления твёрдых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  <w:t xml:space="preserve">коммунальных отходов и ведения их реестра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  <w:u w:val="none"/>
              </w:rPr>
              <w:t xml:space="preserve">мест (площадок) накопления твердых коммунальных отходов на территории сельских поселений Абинского района</w:t>
            </w:r>
            <w:r>
              <w:rPr>
                <w:sz w:val="28"/>
                <w:highlight w:val="white"/>
                <w:u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textDirection w:val="lrTb"/>
            <w:noWrap w:val="false"/>
          </w:tcPr>
          <w:p>
            <w:pPr>
              <w:pStyle w:val="849"/>
              <w:jc w:val="left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Единовременные расходы: 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при потребности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в обустройстве мест (площадок) накопления ТКО в сельских поселениях Абинского района </w:t>
            </w:r>
            <w: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 xml:space="preserve"> 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                0,4</w:t>
            </w:r>
            <w:r>
              <w:rPr>
                <w:sz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vMerge w:val="continue"/>
            <w:textDirection w:val="lrTb"/>
            <w:noWrap w:val="false"/>
          </w:tcPr>
          <w:p>
            <w:pPr>
              <w:pStyle w:val="85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Периодические расходы ежегодно: </w:t>
            </w:r>
            <w:r>
              <w:rPr>
                <w:sz w:val="28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rPr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не предполагаются</w:t>
            </w:r>
            <w:r>
              <w:rPr>
                <w:sz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vMerge w:val="continue"/>
            <w:textDirection w:val="lrTb"/>
            <w:noWrap w:val="false"/>
          </w:tcPr>
          <w:p>
            <w:pPr>
              <w:pStyle w:val="85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0" w:type="dxa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Возможн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ые доходы за период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:</w:t>
            </w:r>
            <w:r>
              <w:rPr>
                <w:sz w:val="28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не предполагаются</w:t>
            </w:r>
            <w:r>
              <w:rPr>
                <w:sz w:val="28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0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Итого ед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иновременные расходы за период: </w:t>
            </w:r>
            <w:r>
              <w:rPr>
                <w:sz w:val="28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pStyle w:val="855"/>
              <w:jc w:val="lef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              0,4</w:t>
            </w:r>
            <w:r>
              <w:rPr>
                <w:sz w:val="28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00" w:type="dxa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Итого п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ериодические расходы за период:</w:t>
            </w:r>
            <w:r>
              <w:rPr>
                <w:sz w:val="28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отсутствуют</w:t>
            </w:r>
            <w:r>
              <w:rPr>
                <w:sz w:val="28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00" w:type="dxa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Ит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ого возможные доходы за период:</w:t>
            </w:r>
            <w:r>
              <w:rPr>
                <w:sz w:val="28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40" w:type="dxa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отсутствуют</w:t>
            </w:r>
            <w:bookmarkStart w:id="5" w:name="_GoBack"/>
            <w:r>
              <w:rPr>
                <w:sz w:val="28"/>
                <w:highlight w:val="white"/>
              </w:rPr>
            </w:r>
            <w:bookmarkEnd w:id="5"/>
            <w:r>
              <w:rPr>
                <w:sz w:val="28"/>
                <w:highlight w:val="white"/>
              </w:rPr>
            </w:r>
            <w:r/>
          </w:p>
        </w:tc>
      </w:tr>
    </w:tbl>
    <w:p>
      <w:pPr>
        <w:pStyle w:val="849"/>
        <w:ind w:firstLine="0"/>
        <w:jc w:val="both"/>
        <w:rPr>
          <w:rFonts w:ascii="Times New Roman" w:hAnsi="Times New Roman" w:cs="Times New Roman"/>
          <w:sz w:val="26"/>
          <w:szCs w:val="27"/>
          <w:highlight w:val="white"/>
        </w:rPr>
      </w:pPr>
      <w:r>
        <w:rPr>
          <w:rFonts w:ascii="Times New Roman" w:hAnsi="Times New Roman" w:cs="Times New Roman"/>
          <w:sz w:val="26"/>
          <w:szCs w:val="27"/>
          <w:highlight w:val="white"/>
        </w:rPr>
      </w:r>
      <w:r>
        <w:rPr>
          <w:sz w:val="26"/>
        </w:rPr>
      </w:r>
      <w:r/>
    </w:p>
    <w:p>
      <w:pPr>
        <w:pStyle w:val="84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7.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ab/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/>
    </w:p>
    <w:p>
      <w:pPr>
        <w:pStyle w:val="84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/>
    </w:p>
    <w:tbl>
      <w:tblPr>
        <w:tblW w:w="10173" w:type="dxa"/>
        <w:tblInd w:w="-284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72"/>
        <w:gridCol w:w="2555"/>
        <w:gridCol w:w="2236"/>
      </w:tblGrid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9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7.1. Группы потенциальных адресатов предлагаемого правового регулирования </w:t>
            </w:r>
            <w:r/>
          </w:p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(в соответствии с </w:t>
            </w:r>
            <w:hyperlink w:tooltip="#sub_100041" w:anchor="sub_100041" w:history="1">
              <w:r>
                <w:rPr>
                  <w:rStyle w:val="860"/>
                  <w:rFonts w:ascii="Times New Roman" w:hAnsi="Times New Roman"/>
                  <w:b w:val="false"/>
                  <w:color w:val="auto"/>
                  <w:sz w:val="28"/>
                  <w:szCs w:val="24"/>
                  <w:highlight w:val="white"/>
                </w:rPr>
                <w:t xml:space="preserve">подпунктом 4.1 пункта 4</w:t>
              </w:r>
            </w:hyperlink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 настоящего сводного отчёта)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2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5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7.3. Описание расходов и возмо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жных доходов, связанных с введением предлагаемого правового регулирования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236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7.4. Количественная оценка, млн. рублей</w:t>
            </w:r>
            <w:r/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Физические и юридические лица, либо их уполномоченные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представители, проживающие и осуществляющие свою деятельность на территории муниципальн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образования Абинский район.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вводимые:</w:t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Согласование создания места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(площадки) накопления ТКО  и включение их в реестр мест (площадок) накопления ТКО на территории сельских поселений Абинского района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расходы на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создание места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(площадки) накопления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 ТКО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               400,0 тыс. руб. (информация по расходам - согласно коммерческим предложениям)                       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доходы- не предусмотрены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               </w:t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          0,4 млн.</w:t>
            </w:r>
            <w:r/>
          </w:p>
        </w:tc>
      </w:tr>
    </w:tbl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7.5.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Издержки и выгоды адресатов регулирования, не поддающиеся количественной оценке: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издержки отсутствуют.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7.6.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Источники данных: 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смета.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b/>
          <w:sz w:val="28"/>
          <w:szCs w:val="27"/>
          <w:highlight w:val="white"/>
        </w:rPr>
      </w:pPr>
      <w:r>
        <w:rPr>
          <w:rFonts w:ascii="Times New Roman" w:hAnsi="Times New Roman" w:cs="Times New Roman"/>
          <w:b/>
          <w:sz w:val="28"/>
          <w:szCs w:val="27"/>
          <w:highlight w:val="white"/>
        </w:rPr>
        <w:t xml:space="preserve">8.</w:t>
      </w:r>
      <w:r>
        <w:rPr>
          <w:rFonts w:ascii="Times New Roman" w:hAnsi="Times New Roman" w:cs="Times New Roman"/>
          <w:b/>
          <w:sz w:val="28"/>
          <w:szCs w:val="27"/>
          <w:highlight w:val="white"/>
        </w:rPr>
        <w:tab/>
      </w:r>
      <w:r>
        <w:rPr>
          <w:rFonts w:ascii="Times New Roman" w:hAnsi="Times New Roman" w:cs="Times New Roman"/>
          <w:b/>
          <w:sz w:val="28"/>
          <w:szCs w:val="27"/>
          <w:highlight w:val="white"/>
        </w:rPr>
        <w:t xml:space="preserve">Оценка рисков неблагоприятных последствий применения предлагаемого правового регулирования:</w:t>
      </w:r>
      <w:r/>
    </w:p>
    <w:tbl>
      <w:tblPr>
        <w:tblW w:w="10335" w:type="dxa"/>
        <w:tblInd w:w="-567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3281"/>
        <w:gridCol w:w="1830"/>
        <w:gridCol w:w="2987"/>
      </w:tblGrid>
      <w:tr>
        <w:trPr>
          <w:trHeight w:val="1515"/>
        </w:trPr>
        <w:tc>
          <w:tcPr>
            <w:tcW w:w="2237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8.1. Виды рисков</w:t>
            </w:r>
            <w:r/>
          </w:p>
        </w:tc>
        <w:tc>
          <w:tcPr>
            <w:tcW w:w="3281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8.2. Оценка вероятности наступления неблагоприятных последствий</w:t>
            </w:r>
            <w:r/>
          </w:p>
        </w:tc>
        <w:tc>
          <w:tcPr>
            <w:tcW w:w="1830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8.3. Методы контроля рисков</w:t>
            </w:r>
            <w:r/>
          </w:p>
        </w:tc>
        <w:tc>
          <w:tcPr>
            <w:tcW w:w="2987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8.4. Степень контроля рисков (полный / частичный / отсу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тствует)</w:t>
            </w:r>
            <w:r/>
          </w:p>
        </w:tc>
      </w:tr>
      <w:tr>
        <w:trPr>
          <w:trHeight w:val="392"/>
        </w:trPr>
        <w:tc>
          <w:tcPr>
            <w:tcW w:w="2237" w:type="dxa"/>
            <w:vAlign w:val="center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отсутствуют</w:t>
            </w:r>
            <w:r/>
          </w:p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/>
          </w:p>
        </w:tc>
        <w:tc>
          <w:tcPr>
            <w:tcW w:w="3281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отсутствуют</w:t>
            </w:r>
            <w:r/>
          </w:p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/>
          </w:p>
        </w:tc>
        <w:tc>
          <w:tcPr>
            <w:tcW w:w="1830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отсутствуют</w:t>
            </w:r>
            <w:r/>
          </w:p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/>
          </w:p>
        </w:tc>
        <w:tc>
          <w:tcPr>
            <w:tcW w:w="2987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отсутствуют</w:t>
            </w:r>
            <w:r/>
          </w:p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r>
            <w:r/>
          </w:p>
        </w:tc>
      </w:tr>
    </w:tbl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7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 xml:space="preserve">8.5.</w:t>
      </w:r>
      <w:r>
        <w:rPr>
          <w:rFonts w:ascii="Times New Roman" w:hAnsi="Times New Roman" w:cs="Times New Roman"/>
          <w:sz w:val="28"/>
          <w:szCs w:val="27"/>
          <w:highlight w:val="white"/>
        </w:rPr>
        <w:tab/>
        <w:t xml:space="preserve">Источник данных: </w:t>
      </w:r>
      <w:r>
        <w:rPr>
          <w:rFonts w:ascii="Times New Roman" w:hAnsi="Times New Roman" w:cs="Times New Roman"/>
          <w:sz w:val="28"/>
          <w:szCs w:val="27"/>
          <w:highlight w:val="white"/>
          <w:u w:val="single"/>
        </w:rPr>
        <w:t xml:space="preserve">отсутствуют.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7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7"/>
          <w:highlight w:val="white"/>
          <w:u w:val="single"/>
        </w:rPr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7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ab/>
        <w:t xml:space="preserve">9.</w:t>
      </w:r>
      <w:r>
        <w:rPr>
          <w:rFonts w:ascii="Times New Roman" w:hAnsi="Times New Roman" w:cs="Times New Roman"/>
          <w:sz w:val="28"/>
          <w:szCs w:val="27"/>
          <w:highlight w:val="white"/>
        </w:rPr>
        <w:tab/>
        <w:t xml:space="preserve">Сравнение возможных вариантов решения проблемы:</w:t>
      </w:r>
      <w:r/>
    </w:p>
    <w:tbl>
      <w:tblPr>
        <w:tblW w:w="10205" w:type="dxa"/>
        <w:tblInd w:w="-567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3689"/>
        <w:gridCol w:w="2976"/>
      </w:tblGrid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39" w:type="dxa"/>
            <w:textDirection w:val="lrTb"/>
            <w:noWrap w:val="false"/>
          </w:tcPr>
          <w:p>
            <w:pPr>
              <w:pStyle w:val="855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8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Вариант 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97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Вариант 2</w:t>
            </w:r>
            <w:r/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3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8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white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97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white"/>
              </w:rPr>
              <w:t xml:space="preserve">3</w:t>
            </w:r>
            <w:r/>
          </w:p>
        </w:tc>
      </w:tr>
      <w:tr>
        <w:trPr>
          <w:trHeight w:val="581"/>
        </w:trPr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39" w:type="dxa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9.1. Содержание варианта решения проблемы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8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принять проект Постановления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976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принимать проект Постановления </w:t>
            </w:r>
            <w:r/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3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89" w:type="dxa"/>
            <w:textDirection w:val="lrTb"/>
            <w:noWrap w:val="false"/>
          </w:tcPr>
          <w:p>
            <w:pPr>
              <w:pStyle w:val="849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неограниченное  количество  лиц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976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отсутствует</w:t>
            </w:r>
            <w:r/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3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9.3. Оценка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  <w:r>
              <w:rPr>
                <w:sz w:val="28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89" w:type="dxa"/>
            <w:textDirection w:val="lrTb"/>
            <w:noWrap w:val="false"/>
          </w:tcPr>
          <w:p>
            <w:pPr>
              <w:pStyle w:val="855"/>
              <w:jc w:val="lef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расходы на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создание места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(площадки) накопления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ТКО 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- 400,0 тыс. руб.   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доходы- не предусмотрены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97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отсутствует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              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39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9.4. Оценка расходов (доходов) местного бюджета (бюджета муниципаль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ного образования Абинский район), связанных с введением предлагаемого правового регулирования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8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расходы на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создание места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(площадки) накопления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ТКО 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-  400,0 тыс. руб.   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доходы- не предусмотрены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976" w:type="dxa"/>
            <w:textDirection w:val="lrTb"/>
            <w:noWrap w:val="false"/>
          </w:tcPr>
          <w:p>
            <w:pPr>
              <w:pStyle w:val="855"/>
              <w:jc w:val="lef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           отсутствуют</w:t>
            </w:r>
            <w:r/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39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9.5. Оценка возможности достижения заявленных целей регулирования (</w:t>
            </w:r>
            <w:hyperlink w:tooltip="#sub_10003" w:anchor="sub_10003" w:history="1">
              <w:r>
                <w:rPr>
                  <w:rStyle w:val="860"/>
                  <w:rFonts w:ascii="Times New Roman" w:hAnsi="Times New Roman"/>
                  <w:b w:val="false"/>
                  <w:color w:val="auto"/>
                  <w:sz w:val="28"/>
                  <w:highlight w:val="white"/>
                </w:rPr>
                <w:t xml:space="preserve">пункт 3</w:t>
              </w:r>
            </w:hyperlink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  <w:r>
              <w:rPr>
                <w:sz w:val="28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89" w:type="dxa"/>
            <w:textDirection w:val="lrTb"/>
            <w:noWrap w:val="false"/>
          </w:tcPr>
          <w:p>
            <w:pPr>
              <w:pStyle w:val="855"/>
              <w:jc w:val="lef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при принятии данного варианта предполагаемого правового регулирования заявленные цели буд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ут достигнуты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97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отсутствует</w:t>
            </w:r>
            <w:r/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3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9.6. Оценка рисков неблагоприятных последствий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89" w:type="dxa"/>
            <w:textDirection w:val="lrTb"/>
            <w:noWrap w:val="false"/>
          </w:tcPr>
          <w:p>
            <w:pPr>
              <w:pStyle w:val="855"/>
              <w:jc w:val="lef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риски неблагоприятных последствий отсутствуют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976" w:type="dxa"/>
            <w:textDirection w:val="lrTb"/>
            <w:noWrap w:val="false"/>
          </w:tcPr>
          <w:p>
            <w:pPr>
              <w:pStyle w:val="855"/>
              <w:jc w:val="lef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при принятии данного варианта предполагаемого правового регулирования заявленные цели не будут достигнуты</w:t>
            </w:r>
            <w:r/>
          </w:p>
        </w:tc>
      </w:tr>
    </w:tbl>
    <w:p>
      <w:pPr>
        <w:pStyle w:val="849"/>
        <w:jc w:val="both"/>
        <w:rPr>
          <w:rFonts w:ascii="Times New Roman" w:hAnsi="Times New Roman" w:cs="Times New Roman"/>
          <w:sz w:val="28"/>
          <w:szCs w:val="27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9.7.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Обоснование выбора предпочтительного варианта решения выявленной проблемы: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Единственным вариантом решения проблемы является принятие проекта Постановления, направленного на исполнение требований действующего законодательства.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9.8.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Детальное описание пред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лагаемого варианта решения проблемы: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Утверждение единого  порядка 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</w:rPr>
        <w:t xml:space="preserve">огласования создания места (площадки) накопления твердых коммунальных отходов и включения их в реестр мест (площадок) накопления твердых коммунальных отходов на территории сельских поселен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</w:rPr>
        <w:t xml:space="preserve">ий Абинского района.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                   на ран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ее возникшие отношения: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отсутствует.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10.1.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Предполагаемая дата вступления в силу муниципального нормативного правового акта: 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На следующий день после дня его официального опубликования.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10.2.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нет.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срок переходного периода: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нет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даты принятия проекта муниципального нормативного правового акта;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отсрочка введения предлагаемого рег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улирования: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нет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дней                 с даты принятия проекта муниципального нормативного правового акта.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10.3.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Необходимость распространения предлагаемого правового регулирования на ранее возникшие отношения: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отсутствует.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10.3.1. Период распространения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ранее возникшие отношения: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нет.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10.4.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Обоснование необходимости установления переходного периода                и (или) отсрочки вступления в силу муниципального нормативного правового акта либо необходимости распространения предлагаемого правового регу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лирования на ранее возникшие отношения: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отсутствует.</w:t>
      </w:r>
      <w:r/>
    </w:p>
    <w:p>
      <w:pPr>
        <w:pStyle w:val="849"/>
        <w:ind w:firstLine="708"/>
        <w:jc w:val="both"/>
        <w:rPr>
          <w:rFonts w:ascii="Times New Roman" w:hAnsi="Times New Roman" w:cs="Times New Roman"/>
          <w:sz w:val="28"/>
          <w:szCs w:val="27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7"/>
          <w:highlight w:val="white"/>
          <w:u w:val="single"/>
        </w:rPr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7"/>
          <w:u w:val="single"/>
        </w:rPr>
      </w:pPr>
      <w:r>
        <w:rPr>
          <w:rFonts w:ascii="Times New Roman" w:hAnsi="Times New Roman" w:cs="Times New Roman"/>
          <w:sz w:val="28"/>
          <w:szCs w:val="27"/>
          <w:u w:val="single"/>
        </w:rPr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ЖКХ, </w:t>
      </w:r>
      <w:r/>
    </w:p>
    <w:p>
      <w:pPr>
        <w:pStyle w:val="84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 и связи                                                                                  М.В. Барская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</w:r>
      <w:r/>
    </w:p>
    <w:p>
      <w:pPr>
        <w:pStyle w:val="849"/>
        <w:ind w:left="0"/>
        <w:jc w:val="left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«___» _____________ 2024 год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867422"/>
      <w:rPr/>
    </w:sdtPr>
    <w:sdtContent>
      <w:p>
        <w:pPr>
          <w:pStyle w:val="85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8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2 Char"/>
    <w:basedOn w:val="682"/>
    <w:link w:val="674"/>
    <w:uiPriority w:val="9"/>
    <w:rPr>
      <w:rFonts w:ascii="Arial" w:hAnsi="Arial" w:cs="Arial" w:eastAsia="Arial"/>
      <w:sz w:val="34"/>
    </w:rPr>
  </w:style>
  <w:style w:type="character" w:styleId="659">
    <w:name w:val="Heading 3 Char"/>
    <w:basedOn w:val="682"/>
    <w:link w:val="675"/>
    <w:uiPriority w:val="9"/>
    <w:rPr>
      <w:rFonts w:ascii="Arial" w:hAnsi="Arial" w:cs="Arial" w:eastAsia="Arial"/>
      <w:sz w:val="30"/>
      <w:szCs w:val="30"/>
    </w:rPr>
  </w:style>
  <w:style w:type="character" w:styleId="660">
    <w:name w:val="Heading 4 Char"/>
    <w:basedOn w:val="682"/>
    <w:link w:val="676"/>
    <w:uiPriority w:val="9"/>
    <w:rPr>
      <w:rFonts w:ascii="Arial" w:hAnsi="Arial" w:cs="Arial" w:eastAsia="Arial"/>
      <w:b/>
      <w:bCs/>
      <w:sz w:val="26"/>
      <w:szCs w:val="26"/>
    </w:rPr>
  </w:style>
  <w:style w:type="character" w:styleId="661">
    <w:name w:val="Heading 5 Char"/>
    <w:basedOn w:val="682"/>
    <w:link w:val="677"/>
    <w:uiPriority w:val="9"/>
    <w:rPr>
      <w:rFonts w:ascii="Arial" w:hAnsi="Arial" w:cs="Arial" w:eastAsia="Arial"/>
      <w:b/>
      <w:bCs/>
      <w:sz w:val="24"/>
      <w:szCs w:val="24"/>
    </w:rPr>
  </w:style>
  <w:style w:type="character" w:styleId="662">
    <w:name w:val="Heading 6 Char"/>
    <w:basedOn w:val="682"/>
    <w:link w:val="678"/>
    <w:uiPriority w:val="9"/>
    <w:rPr>
      <w:rFonts w:ascii="Arial" w:hAnsi="Arial" w:cs="Arial" w:eastAsia="Arial"/>
      <w:b/>
      <w:bCs/>
      <w:sz w:val="22"/>
      <w:szCs w:val="22"/>
    </w:rPr>
  </w:style>
  <w:style w:type="character" w:styleId="663">
    <w:name w:val="Heading 7 Char"/>
    <w:basedOn w:val="682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4">
    <w:name w:val="Heading 8 Char"/>
    <w:basedOn w:val="682"/>
    <w:link w:val="680"/>
    <w:uiPriority w:val="9"/>
    <w:rPr>
      <w:rFonts w:ascii="Arial" w:hAnsi="Arial" w:cs="Arial" w:eastAsia="Arial"/>
      <w:i/>
      <w:iCs/>
      <w:sz w:val="22"/>
      <w:szCs w:val="22"/>
    </w:rPr>
  </w:style>
  <w:style w:type="character" w:styleId="665">
    <w:name w:val="Heading 9 Char"/>
    <w:basedOn w:val="682"/>
    <w:link w:val="681"/>
    <w:uiPriority w:val="9"/>
    <w:rPr>
      <w:rFonts w:ascii="Arial" w:hAnsi="Arial" w:cs="Arial" w:eastAsia="Arial"/>
      <w:i/>
      <w:iCs/>
      <w:sz w:val="21"/>
      <w:szCs w:val="21"/>
    </w:rPr>
  </w:style>
  <w:style w:type="character" w:styleId="666">
    <w:name w:val="Title Char"/>
    <w:basedOn w:val="682"/>
    <w:link w:val="694"/>
    <w:uiPriority w:val="10"/>
    <w:rPr>
      <w:sz w:val="48"/>
      <w:szCs w:val="48"/>
    </w:rPr>
  </w:style>
  <w:style w:type="character" w:styleId="667">
    <w:name w:val="Subtitle Char"/>
    <w:basedOn w:val="682"/>
    <w:link w:val="696"/>
    <w:uiPriority w:val="11"/>
    <w:rPr>
      <w:sz w:val="24"/>
      <w:szCs w:val="24"/>
    </w:rPr>
  </w:style>
  <w:style w:type="character" w:styleId="668">
    <w:name w:val="Quote Char"/>
    <w:link w:val="698"/>
    <w:uiPriority w:val="29"/>
    <w:rPr>
      <w:i/>
    </w:rPr>
  </w:style>
  <w:style w:type="character" w:styleId="669">
    <w:name w:val="Intense Quote Char"/>
    <w:link w:val="700"/>
    <w:uiPriority w:val="30"/>
    <w:rPr>
      <w:i/>
    </w:rPr>
  </w:style>
  <w:style w:type="character" w:styleId="670">
    <w:name w:val="Footnote Text Char"/>
    <w:link w:val="832"/>
    <w:uiPriority w:val="99"/>
    <w:rPr>
      <w:sz w:val="18"/>
    </w:rPr>
  </w:style>
  <w:style w:type="character" w:styleId="671">
    <w:name w:val="Endnote Text Char"/>
    <w:link w:val="835"/>
    <w:uiPriority w:val="99"/>
    <w:rPr>
      <w:sz w:val="20"/>
    </w:rPr>
  </w:style>
  <w:style w:type="paragraph" w:styleId="672" w:default="1">
    <w:name w:val="Normal"/>
    <w:qFormat/>
  </w:style>
  <w:style w:type="paragraph" w:styleId="673">
    <w:name w:val="Heading 1"/>
    <w:basedOn w:val="672"/>
    <w:next w:val="672"/>
    <w:link w:val="859"/>
    <w:qFormat/>
    <w:uiPriority w:val="99"/>
    <w:rPr>
      <w:rFonts w:ascii="Arial" w:hAnsi="Arial" w:cs="Arial"/>
      <w:b/>
      <w:bCs/>
      <w:color w:val="26282F"/>
      <w:sz w:val="24"/>
      <w:szCs w:val="24"/>
    </w:rPr>
    <w:pPr>
      <w:jc w:val="center"/>
      <w:spacing w:lineRule="auto" w:line="240" w:after="108" w:before="108"/>
      <w:widowControl w:val="off"/>
      <w:outlineLvl w:val="0"/>
    </w:pPr>
  </w:style>
  <w:style w:type="paragraph" w:styleId="674">
    <w:name w:val="Heading 2"/>
    <w:basedOn w:val="672"/>
    <w:next w:val="672"/>
    <w:link w:val="68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75">
    <w:name w:val="Heading 3"/>
    <w:basedOn w:val="672"/>
    <w:next w:val="672"/>
    <w:link w:val="68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76">
    <w:name w:val="Heading 4"/>
    <w:basedOn w:val="672"/>
    <w:next w:val="672"/>
    <w:link w:val="68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77">
    <w:name w:val="Heading 5"/>
    <w:basedOn w:val="672"/>
    <w:next w:val="672"/>
    <w:link w:val="6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78">
    <w:name w:val="Heading 6"/>
    <w:basedOn w:val="672"/>
    <w:next w:val="672"/>
    <w:link w:val="690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79">
    <w:name w:val="Heading 7"/>
    <w:basedOn w:val="672"/>
    <w:next w:val="672"/>
    <w:link w:val="691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80">
    <w:name w:val="Heading 8"/>
    <w:basedOn w:val="672"/>
    <w:next w:val="672"/>
    <w:link w:val="692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81">
    <w:name w:val="Heading 9"/>
    <w:basedOn w:val="672"/>
    <w:next w:val="672"/>
    <w:link w:val="69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basedOn w:val="682"/>
    <w:uiPriority w:val="9"/>
    <w:rPr>
      <w:rFonts w:ascii="Arial" w:hAnsi="Arial" w:cs="Arial" w:eastAsia="Arial"/>
      <w:sz w:val="40"/>
      <w:szCs w:val="40"/>
    </w:rPr>
  </w:style>
  <w:style w:type="character" w:styleId="686" w:customStyle="1">
    <w:name w:val="Заголовок 2 Знак"/>
    <w:basedOn w:val="682"/>
    <w:link w:val="674"/>
    <w:uiPriority w:val="9"/>
    <w:rPr>
      <w:rFonts w:ascii="Arial" w:hAnsi="Arial" w:cs="Arial" w:eastAsia="Arial"/>
      <w:sz w:val="34"/>
    </w:rPr>
  </w:style>
  <w:style w:type="character" w:styleId="687" w:customStyle="1">
    <w:name w:val="Заголовок 3 Знак"/>
    <w:basedOn w:val="682"/>
    <w:link w:val="675"/>
    <w:uiPriority w:val="9"/>
    <w:rPr>
      <w:rFonts w:ascii="Arial" w:hAnsi="Arial" w:cs="Arial" w:eastAsia="Arial"/>
      <w:sz w:val="30"/>
      <w:szCs w:val="30"/>
    </w:rPr>
  </w:style>
  <w:style w:type="character" w:styleId="688" w:customStyle="1">
    <w:name w:val="Заголовок 4 Знак"/>
    <w:basedOn w:val="682"/>
    <w:link w:val="676"/>
    <w:uiPriority w:val="9"/>
    <w:rPr>
      <w:rFonts w:ascii="Arial" w:hAnsi="Arial" w:cs="Arial" w:eastAsia="Arial"/>
      <w:b/>
      <w:bCs/>
      <w:sz w:val="26"/>
      <w:szCs w:val="26"/>
    </w:rPr>
  </w:style>
  <w:style w:type="character" w:styleId="689" w:customStyle="1">
    <w:name w:val="Заголовок 5 Знак"/>
    <w:basedOn w:val="682"/>
    <w:link w:val="677"/>
    <w:uiPriority w:val="9"/>
    <w:rPr>
      <w:rFonts w:ascii="Arial" w:hAnsi="Arial" w:cs="Arial" w:eastAsia="Arial"/>
      <w:b/>
      <w:bCs/>
      <w:sz w:val="24"/>
      <w:szCs w:val="24"/>
    </w:rPr>
  </w:style>
  <w:style w:type="character" w:styleId="690" w:customStyle="1">
    <w:name w:val="Заголовок 6 Знак"/>
    <w:basedOn w:val="682"/>
    <w:link w:val="678"/>
    <w:uiPriority w:val="9"/>
    <w:rPr>
      <w:rFonts w:ascii="Arial" w:hAnsi="Arial" w:cs="Arial" w:eastAsia="Arial"/>
      <w:b/>
      <w:bCs/>
      <w:sz w:val="22"/>
      <w:szCs w:val="22"/>
    </w:rPr>
  </w:style>
  <w:style w:type="character" w:styleId="691" w:customStyle="1">
    <w:name w:val="Заголовок 7 Знак"/>
    <w:basedOn w:val="682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82"/>
    <w:link w:val="680"/>
    <w:uiPriority w:val="9"/>
    <w:rPr>
      <w:rFonts w:ascii="Arial" w:hAnsi="Arial" w:cs="Arial" w:eastAsia="Arial"/>
      <w:i/>
      <w:iCs/>
      <w:sz w:val="22"/>
      <w:szCs w:val="22"/>
    </w:rPr>
  </w:style>
  <w:style w:type="character" w:styleId="693" w:customStyle="1">
    <w:name w:val="Заголовок 9 Знак"/>
    <w:basedOn w:val="682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94">
    <w:name w:val="Title"/>
    <w:basedOn w:val="672"/>
    <w:next w:val="672"/>
    <w:link w:val="695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95" w:customStyle="1">
    <w:name w:val="Заголовок Знак"/>
    <w:basedOn w:val="682"/>
    <w:link w:val="694"/>
    <w:uiPriority w:val="10"/>
    <w:rPr>
      <w:sz w:val="48"/>
      <w:szCs w:val="48"/>
    </w:rPr>
  </w:style>
  <w:style w:type="paragraph" w:styleId="696">
    <w:name w:val="Subtitle"/>
    <w:basedOn w:val="672"/>
    <w:next w:val="672"/>
    <w:link w:val="697"/>
    <w:qFormat/>
    <w:uiPriority w:val="11"/>
    <w:rPr>
      <w:sz w:val="24"/>
      <w:szCs w:val="24"/>
    </w:rPr>
    <w:pPr>
      <w:spacing w:before="200"/>
    </w:pPr>
  </w:style>
  <w:style w:type="character" w:styleId="697" w:customStyle="1">
    <w:name w:val="Подзаголовок Знак"/>
    <w:basedOn w:val="682"/>
    <w:link w:val="696"/>
    <w:uiPriority w:val="11"/>
    <w:rPr>
      <w:sz w:val="24"/>
      <w:szCs w:val="24"/>
    </w:rPr>
  </w:style>
  <w:style w:type="paragraph" w:styleId="698">
    <w:name w:val="Quote"/>
    <w:basedOn w:val="672"/>
    <w:next w:val="672"/>
    <w:link w:val="699"/>
    <w:qFormat/>
    <w:uiPriority w:val="29"/>
    <w:rPr>
      <w:i/>
    </w:rPr>
    <w:pPr>
      <w:ind w:left="720" w:right="720"/>
    </w:p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2"/>
    <w:next w:val="672"/>
    <w:link w:val="701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01" w:customStyle="1">
    <w:name w:val="Выделенная цитата Знак"/>
    <w:link w:val="700"/>
    <w:uiPriority w:val="30"/>
    <w:rPr>
      <w:i/>
    </w:rPr>
  </w:style>
  <w:style w:type="character" w:styleId="702" w:customStyle="1">
    <w:name w:val="Header Char"/>
    <w:basedOn w:val="682"/>
    <w:uiPriority w:val="99"/>
  </w:style>
  <w:style w:type="character" w:styleId="703" w:customStyle="1">
    <w:name w:val="Footer Char"/>
    <w:basedOn w:val="682"/>
    <w:uiPriority w:val="99"/>
  </w:style>
  <w:style w:type="paragraph" w:styleId="704">
    <w:name w:val="Caption"/>
    <w:basedOn w:val="672"/>
    <w:next w:val="672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705" w:customStyle="1">
    <w:name w:val="Caption Char"/>
    <w:uiPriority w:val="99"/>
  </w:style>
  <w:style w:type="table" w:styleId="706">
    <w:name w:val="Table Grid"/>
    <w:basedOn w:val="683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7" w:customStyle="1">
    <w:name w:val="Table Grid Light"/>
    <w:basedOn w:val="683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8">
    <w:name w:val="Plain Table 1"/>
    <w:basedOn w:val="683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83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8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8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8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3">
    <w:name w:val="Grid Table 1 Light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2 - Accent 1"/>
    <w:basedOn w:val="68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2 - Accent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2 - Accent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2 - Accent 4"/>
    <w:basedOn w:val="68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2 - Accent 5"/>
    <w:basedOn w:val="68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2 - Accent 6"/>
    <w:basedOn w:val="68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3 - Accent 1"/>
    <w:basedOn w:val="68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3 - Accent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3 - Accent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Grid Table 3 - Accent 4"/>
    <w:basedOn w:val="68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Grid Table 3 - Accent 5"/>
    <w:basedOn w:val="68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Grid Table 3 - Accent 6"/>
    <w:basedOn w:val="68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4"/>
    <w:basedOn w:val="68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5" w:customStyle="1">
    <w:name w:val="Grid Table 4 - Accent 1"/>
    <w:basedOn w:val="68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36" w:customStyle="1">
    <w:name w:val="Grid Table 4 - Accent 2"/>
    <w:basedOn w:val="68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7" w:customStyle="1">
    <w:name w:val="Grid Table 4 - Accent 3"/>
    <w:basedOn w:val="68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8" w:customStyle="1">
    <w:name w:val="Grid Table 4 - Accent 4"/>
    <w:basedOn w:val="68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9" w:customStyle="1">
    <w:name w:val="Grid Table 4 - Accent 5"/>
    <w:basedOn w:val="68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40" w:customStyle="1">
    <w:name w:val="Grid Table 4 - Accent 6"/>
    <w:basedOn w:val="68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41">
    <w:name w:val="Grid Table 5 Dark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42" w:customStyle="1">
    <w:name w:val="Grid Table 5 Dark- Accent 1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743" w:customStyle="1">
    <w:name w:val="Grid Table 5 Dark - Accent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744" w:customStyle="1">
    <w:name w:val="Grid Table 5 Dark - Accent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745" w:customStyle="1">
    <w:name w:val="Grid Table 5 Dark- Accent 4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746" w:customStyle="1">
    <w:name w:val="Grid Table 5 Dark - Accent 5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747" w:customStyle="1">
    <w:name w:val="Grid Table 5 Dark - Accent 6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748">
    <w:name w:val="Grid Table 6 Colorful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0" w:customStyle="1">
    <w:name w:val="Grid Table 6 Colorful - Accent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1" w:customStyle="1">
    <w:name w:val="Grid Table 6 Colorful - Accent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2" w:customStyle="1">
    <w:name w:val="Grid Table 6 Colorful - Accent 4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3" w:customStyle="1">
    <w:name w:val="Grid Table 6 Colorful - Accent 5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 w:customStyle="1">
    <w:name w:val="Grid Table 6 Colorful - Accent 6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>
    <w:name w:val="Grid Table 7 Colorful"/>
    <w:basedOn w:val="68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Grid Table 7 Colorful - Accent 1"/>
    <w:basedOn w:val="68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Grid Table 7 Colorful - Accent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Grid Table 7 Colorful - Accent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Grid Table 7 Colorful - Accent 4"/>
    <w:basedOn w:val="68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Grid Table 7 Colorful - Accent 5"/>
    <w:basedOn w:val="68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Grid Table 7 Colorful - Accent 6"/>
    <w:basedOn w:val="68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"/>
    <w:basedOn w:val="68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 w:customStyle="1">
    <w:name w:val="List Table 1 Light - Accent 1"/>
    <w:basedOn w:val="68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List Table 1 Light - Accent 2"/>
    <w:basedOn w:val="68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 w:customStyle="1">
    <w:name w:val="List Table 1 Light - Accent 3"/>
    <w:basedOn w:val="68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 w:customStyle="1">
    <w:name w:val="List Table 1 Light - Accent 4"/>
    <w:basedOn w:val="68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 w:customStyle="1">
    <w:name w:val="List Table 1 Light - Accent 5"/>
    <w:basedOn w:val="68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List Table 1 Light - Accent 6"/>
    <w:basedOn w:val="68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70" w:customStyle="1">
    <w:name w:val="List Table 2 - Accent 1"/>
    <w:basedOn w:val="683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71" w:customStyle="1">
    <w:name w:val="List Table 2 - Accent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72" w:customStyle="1">
    <w:name w:val="List Table 2 - Accent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73" w:customStyle="1">
    <w:name w:val="List Table 2 - Accent 4"/>
    <w:basedOn w:val="683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74" w:customStyle="1">
    <w:name w:val="List Table 2 - Accent 5"/>
    <w:basedOn w:val="683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75" w:customStyle="1">
    <w:name w:val="List Table 2 - Accent 6"/>
    <w:basedOn w:val="683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76">
    <w:name w:val="List Table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>
    <w:name w:val="List Table 6 Colorful"/>
    <w:basedOn w:val="683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8" w:customStyle="1">
    <w:name w:val="List Table 6 Colorful - Accent 1"/>
    <w:basedOn w:val="683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9" w:customStyle="1">
    <w:name w:val="List Table 6 Colorful - Accent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00" w:customStyle="1">
    <w:name w:val="List Table 6 Colorful - Accent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01" w:customStyle="1">
    <w:name w:val="List Table 6 Colorful - Accent 4"/>
    <w:basedOn w:val="683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02" w:customStyle="1">
    <w:name w:val="List Table 6 Colorful - Accent 5"/>
    <w:basedOn w:val="683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03" w:customStyle="1">
    <w:name w:val="List Table 6 Colorful - Accent 6"/>
    <w:basedOn w:val="683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04">
    <w:name w:val="List Table 7 Colorful"/>
    <w:basedOn w:val="68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5" w:customStyle="1">
    <w:name w:val="List Table 7 Colorful - Accent 1"/>
    <w:basedOn w:val="68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 w:customStyle="1">
    <w:name w:val="List Table 7 Colorful - Accent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7" w:customStyle="1">
    <w:name w:val="List Table 7 Colorful - Accent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8" w:customStyle="1">
    <w:name w:val="List Table 7 Colorful - Accent 4"/>
    <w:basedOn w:val="68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9" w:customStyle="1">
    <w:name w:val="List Table 7 Colorful - Accent 5"/>
    <w:basedOn w:val="68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10" w:customStyle="1">
    <w:name w:val="List Table 7 Colorful - Accent 6"/>
    <w:basedOn w:val="68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11" w:customStyle="1">
    <w:name w:val="Lined - Accent"/>
    <w:basedOn w:val="68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12" w:customStyle="1">
    <w:name w:val="Lined - Accent 1"/>
    <w:basedOn w:val="68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13" w:customStyle="1">
    <w:name w:val="Lined - Accent 2"/>
    <w:basedOn w:val="68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14" w:customStyle="1">
    <w:name w:val="Lined - Accent 3"/>
    <w:basedOn w:val="68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15" w:customStyle="1">
    <w:name w:val="Lined - Accent 4"/>
    <w:basedOn w:val="68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16" w:customStyle="1">
    <w:name w:val="Lined - Accent 5"/>
    <w:basedOn w:val="68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17" w:customStyle="1">
    <w:name w:val="Lined - Accent 6"/>
    <w:basedOn w:val="68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18" w:customStyle="1">
    <w:name w:val="Bordered &amp; Lined - Accent"/>
    <w:basedOn w:val="68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19" w:customStyle="1">
    <w:name w:val="Bordered &amp; Lined - Accent 1"/>
    <w:basedOn w:val="68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20" w:customStyle="1">
    <w:name w:val="Bordered &amp; Lined - Accent 2"/>
    <w:basedOn w:val="68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21" w:customStyle="1">
    <w:name w:val="Bordered &amp; Lined - Accent 3"/>
    <w:basedOn w:val="68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22" w:customStyle="1">
    <w:name w:val="Bordered &amp; Lined - Accent 4"/>
    <w:basedOn w:val="68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23" w:customStyle="1">
    <w:name w:val="Bordered &amp; Lined - Accent 5"/>
    <w:basedOn w:val="68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24" w:customStyle="1">
    <w:name w:val="Bordered &amp; Lined - Accent 6"/>
    <w:basedOn w:val="683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25" w:customStyle="1">
    <w:name w:val="Bordered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26" w:customStyle="1">
    <w:name w:val="Bordered - Accent 1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7" w:customStyle="1">
    <w:name w:val="Bordered - Accent 2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8" w:customStyle="1">
    <w:name w:val="Bordered - Accent 3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9" w:customStyle="1">
    <w:name w:val="Bordered - Accent 4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30" w:customStyle="1">
    <w:name w:val="Bordered - Accent 5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31" w:customStyle="1">
    <w:name w:val="Bordered - Accent 6"/>
    <w:basedOn w:val="68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832">
    <w:name w:val="footnote text"/>
    <w:basedOn w:val="67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basedOn w:val="682"/>
    <w:uiPriority w:val="99"/>
    <w:unhideWhenUsed/>
    <w:rPr>
      <w:vertAlign w:val="superscript"/>
    </w:rPr>
  </w:style>
  <w:style w:type="paragraph" w:styleId="835">
    <w:name w:val="endnote text"/>
    <w:basedOn w:val="67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basedOn w:val="682"/>
    <w:uiPriority w:val="99"/>
    <w:semiHidden/>
    <w:unhideWhenUsed/>
    <w:rPr>
      <w:vertAlign w:val="superscript"/>
    </w:rPr>
  </w:style>
  <w:style w:type="paragraph" w:styleId="838">
    <w:name w:val="toc 1"/>
    <w:basedOn w:val="672"/>
    <w:next w:val="672"/>
    <w:uiPriority w:val="39"/>
    <w:unhideWhenUsed/>
    <w:pPr>
      <w:spacing w:after="57"/>
    </w:pPr>
  </w:style>
  <w:style w:type="paragraph" w:styleId="839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40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41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42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43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44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45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46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672"/>
    <w:next w:val="672"/>
    <w:uiPriority w:val="99"/>
    <w:unhideWhenUsed/>
    <w:pPr>
      <w:spacing w:after="0"/>
    </w:pPr>
  </w:style>
  <w:style w:type="paragraph" w:styleId="849">
    <w:name w:val="No Spacing"/>
    <w:qFormat/>
    <w:uiPriority w:val="1"/>
    <w:pPr>
      <w:spacing w:lineRule="auto" w:line="240" w:after="0"/>
    </w:pPr>
  </w:style>
  <w:style w:type="paragraph" w:styleId="850">
    <w:name w:val="Header"/>
    <w:basedOn w:val="672"/>
    <w:link w:val="85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682"/>
    <w:link w:val="850"/>
    <w:uiPriority w:val="99"/>
  </w:style>
  <w:style w:type="paragraph" w:styleId="852">
    <w:name w:val="Footer"/>
    <w:basedOn w:val="672"/>
    <w:link w:val="853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682"/>
    <w:link w:val="852"/>
    <w:uiPriority w:val="99"/>
    <w:semiHidden/>
  </w:style>
  <w:style w:type="character" w:styleId="854">
    <w:name w:val="Hyperlink"/>
    <w:basedOn w:val="682"/>
    <w:uiPriority w:val="99"/>
    <w:unhideWhenUsed/>
    <w:rPr>
      <w:color w:val="0000FF" w:themeColor="hyperlink"/>
      <w:u w:val="single"/>
    </w:rPr>
  </w:style>
  <w:style w:type="paragraph" w:styleId="855" w:customStyle="1">
    <w:name w:val="Нормальный (таблица)"/>
    <w:basedOn w:val="672"/>
    <w:next w:val="672"/>
    <w:uiPriority w:val="99"/>
    <w:rPr>
      <w:rFonts w:ascii="Arial" w:hAnsi="Arial" w:cs="Arial"/>
      <w:sz w:val="24"/>
      <w:szCs w:val="24"/>
    </w:rPr>
    <w:pPr>
      <w:jc w:val="both"/>
      <w:spacing w:lineRule="auto" w:line="240" w:after="0"/>
      <w:widowControl w:val="off"/>
    </w:pPr>
  </w:style>
  <w:style w:type="paragraph" w:styleId="856" w:customStyle="1">
    <w:name w:val="Прижатый влево"/>
    <w:basedOn w:val="672"/>
    <w:next w:val="672"/>
    <w:uiPriority w:val="99"/>
    <w:rPr>
      <w:rFonts w:ascii="Arial" w:hAnsi="Arial" w:cs="Arial"/>
      <w:sz w:val="24"/>
      <w:szCs w:val="24"/>
    </w:rPr>
    <w:pPr>
      <w:spacing w:lineRule="auto" w:line="240" w:after="0"/>
      <w:widowControl w:val="off"/>
    </w:pPr>
  </w:style>
  <w:style w:type="paragraph" w:styleId="857">
    <w:name w:val="Balloon Text"/>
    <w:basedOn w:val="672"/>
    <w:link w:val="858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58" w:customStyle="1">
    <w:name w:val="Текст выноски Знак"/>
    <w:basedOn w:val="682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9" w:customStyle="1">
    <w:name w:val="Заголовок 1 Знак"/>
    <w:basedOn w:val="682"/>
    <w:link w:val="673"/>
    <w:uiPriority w:val="9"/>
    <w:rPr>
      <w:rFonts w:ascii="Arial" w:hAnsi="Arial" w:cs="Arial"/>
      <w:b/>
      <w:bCs/>
      <w:color w:val="26282F"/>
      <w:sz w:val="24"/>
      <w:szCs w:val="24"/>
    </w:rPr>
  </w:style>
  <w:style w:type="character" w:styleId="860" w:customStyle="1">
    <w:name w:val="Гипертекстовая ссылка"/>
    <w:basedOn w:val="682"/>
    <w:uiPriority w:val="99"/>
    <w:rPr>
      <w:rFonts w:cs="Times New Roman"/>
      <w:b/>
      <w:color w:val="106BBE"/>
    </w:rPr>
  </w:style>
  <w:style w:type="paragraph" w:styleId="861">
    <w:name w:val="List Paragraph"/>
    <w:basedOn w:val="672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07A8332F-DB82-4BE3-BFAF-5DFBAD3EB9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>ЖКХ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ЖКХ_5</dc:creator>
  <cp:keywords/>
  <dc:description/>
  <cp:revision>8</cp:revision>
  <dcterms:created xsi:type="dcterms:W3CDTF">2024-12-03T06:21:00Z</dcterms:created>
  <dcterms:modified xsi:type="dcterms:W3CDTF">2024-12-12T07:34:30Z</dcterms:modified>
</cp:coreProperties>
</file>