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C72E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/1475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</w:t>
      </w:r>
      <w:r w:rsidR="009E081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9E081B" w:rsidRPr="009E081B" w:rsidRDefault="009E081B" w:rsidP="009E081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81B">
        <w:rPr>
          <w:rFonts w:ascii="Times New Roman" w:eastAsia="Times New Roman" w:hAnsi="Times New Roman"/>
          <w:b/>
          <w:sz w:val="28"/>
          <w:szCs w:val="28"/>
          <w:lang w:eastAsia="ru-RU"/>
        </w:rPr>
        <w:t>Котовой Эльвиры Евгеньевны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F0533">
        <w:rPr>
          <w:rFonts w:ascii="Times New Roman" w:eastAsia="Times New Roman" w:hAnsi="Times New Roman"/>
          <w:sz w:val="28"/>
          <w:szCs w:val="28"/>
          <w:lang w:eastAsia="ru-RU"/>
        </w:rPr>
        <w:t>1442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9E081B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E1D" w:rsidRPr="00405E1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Иващенко Екатерины Валентиновны, назначенного в состав участковой избирательной комиссии Региональным отделением в Краснодарском крае Политической партии «Гражданская платформа»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9E081B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9E081B" w:rsidP="00D74BF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Котову Эльвиру Евгеньевну</w:t>
            </w:r>
          </w:p>
        </w:tc>
        <w:tc>
          <w:tcPr>
            <w:tcW w:w="5209" w:type="dxa"/>
            <w:hideMark/>
          </w:tcPr>
          <w:p w:rsidR="00490CEB" w:rsidRDefault="00490CEB" w:rsidP="009E081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9E081B" w:rsidRPr="009E081B">
        <w:rPr>
          <w:rFonts w:ascii="Times New Roman" w:eastAsia="Times New Roman" w:hAnsi="Times New Roman"/>
          <w:sz w:val="28"/>
          <w:szCs w:val="28"/>
          <w:lang w:eastAsia="ru-RU"/>
        </w:rPr>
        <w:t>Котов</w:t>
      </w:r>
      <w:r w:rsidR="009E081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9E081B" w:rsidRPr="009E081B">
        <w:rPr>
          <w:rFonts w:ascii="Times New Roman" w:eastAsia="Times New Roman" w:hAnsi="Times New Roman"/>
          <w:sz w:val="28"/>
          <w:szCs w:val="28"/>
          <w:lang w:eastAsia="ru-RU"/>
        </w:rPr>
        <w:t xml:space="preserve"> Эльвир</w:t>
      </w:r>
      <w:r w:rsidR="009E081B">
        <w:rPr>
          <w:rFonts w:ascii="Times New Roman" w:eastAsia="Times New Roman" w:hAnsi="Times New Roman"/>
          <w:sz w:val="28"/>
          <w:szCs w:val="28"/>
          <w:lang w:eastAsia="ru-RU"/>
        </w:rPr>
        <w:t>е Евгеньевне</w:t>
      </w:r>
      <w:r w:rsidR="009E081B" w:rsidRPr="009E08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r w:rsidR="009E081B" w:rsidRPr="009E081B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Котовой Эльвире Евгеньевне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CF3A8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</w:t>
      </w:r>
      <w:r w:rsidR="009E081B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D51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51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D5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05E1D"/>
    <w:rsid w:val="00485BBF"/>
    <w:rsid w:val="00490CEB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823AC3"/>
    <w:rsid w:val="008321E7"/>
    <w:rsid w:val="00876833"/>
    <w:rsid w:val="008C40CE"/>
    <w:rsid w:val="0090663F"/>
    <w:rsid w:val="00920ADB"/>
    <w:rsid w:val="0092328A"/>
    <w:rsid w:val="00957FD3"/>
    <w:rsid w:val="009E081B"/>
    <w:rsid w:val="009F514D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C72EBA"/>
    <w:rsid w:val="00CB109B"/>
    <w:rsid w:val="00CF0533"/>
    <w:rsid w:val="00CF3A8A"/>
    <w:rsid w:val="00D350F4"/>
    <w:rsid w:val="00D4365D"/>
    <w:rsid w:val="00D51321"/>
    <w:rsid w:val="00D74BF5"/>
    <w:rsid w:val="00DB4DD9"/>
    <w:rsid w:val="00E40524"/>
    <w:rsid w:val="00E420FD"/>
    <w:rsid w:val="00EB370D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1FD5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72</cp:revision>
  <dcterms:created xsi:type="dcterms:W3CDTF">2021-08-27T09:55:00Z</dcterms:created>
  <dcterms:modified xsi:type="dcterms:W3CDTF">2024-08-13T07:23:00Z</dcterms:modified>
</cp:coreProperties>
</file>