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9D" w:rsidRPr="0062179D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  <w:br/>
        <w:t xml:space="preserve">министерства экономики Краснодарского края </w:t>
      </w:r>
      <w:r>
        <w:rPr>
          <w:rFonts w:ascii="Times New Roman" w:hAnsi="Times New Roman" w:cs="Times New Roman"/>
          <w:sz w:val="20"/>
          <w:szCs w:val="20"/>
        </w:rPr>
        <w:br/>
        <w:t>от _____________ № _______________________</w:t>
      </w:r>
    </w:p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EA44C6" w:rsidRPr="00EA44C6">
        <w:rPr>
          <w:rFonts w:ascii="Times New Roman" w:hAnsi="Times New Roman" w:cs="Times New Roman"/>
          <w:sz w:val="20"/>
        </w:rPr>
        <w:t>0</w:t>
      </w:r>
      <w:r w:rsidR="00970B12">
        <w:rPr>
          <w:rFonts w:ascii="Times New Roman" w:hAnsi="Times New Roman" w:cs="Times New Roman"/>
          <w:sz w:val="20"/>
        </w:rPr>
        <w:t>5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bookmarkStart w:id="0" w:name="_GoBack"/>
      <w:bookmarkEnd w:id="0"/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322"/>
        <w:gridCol w:w="2907"/>
        <w:gridCol w:w="5881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ановлением Правительства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выделено 153,7 млрд рублей (Распоряжение Правительства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енной продукции, ее реализацию и перевозку </w:t>
            </w: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животноводства,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перечень ОКВЭД на сайте 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B27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федерального бюджета российским кредитным организациям и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специализированным финансовым обществам в целях возмещения недополученных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предпринимательства, а также физическим лицам, применяющим специальный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изменений, внесённых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Правительства от 16.08.2022            № 1420)</w:t>
            </w:r>
          </w:p>
          <w:p w:rsidR="00972ADC" w:rsidRPr="004B6671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 23.03.2022 № 441</w:t>
            </w: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дополнительному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Размер кредита: для микропредприятий (число сотрудников не превышает 15 человек, а годовая выручка – 120 млн рублей) – до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финансирование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до 4,5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микробизнеса; до 3%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>
              <w:rPr>
                <w:rFonts w:ascii="MyriadPro-Regular" w:hAnsi="MyriadPro-Regular"/>
                <w:color w:val="373E48"/>
                <w:shd w:val="clear" w:color="auto" w:fill="FFFFFF"/>
              </w:rPr>
              <w:t> 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первых 3 лет ставки 3-4,5%,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года):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помещения,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рефинансировать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года.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верхний предел по инвестцелям</w:t>
            </w:r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для микропредприятий и самозанятых</w:t>
            </w:r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оснежения.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Правительства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заемщика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иностранными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государствами в 2022 году введены санкционные ограничения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заключившие соглашение на получение субсидий с Минпромторгом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 соответствии с распоряжением Правительства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медиаотрасли, в том числе электронные, печатные СМИ и полиграфисты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оддержки системообразующим организациям промышленности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дистрибьюторы такой продукции и аптечные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фармацевтической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используют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цифровую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кредитование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инвестиционных проектов в области обращения с отходами</w:t>
            </w:r>
          </w:p>
        </w:tc>
        <w:tc>
          <w:tcPr>
            <w:tcW w:w="3322" w:type="dxa"/>
          </w:tcPr>
          <w:p w:rsidR="00972ADC" w:rsidRPr="00DB61F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Правительства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продукция,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финансирования,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случае финансирования импортного контракта на приобретение продукции в рамках инвестиционного проекта или финансирования импортного контракта, срок изготовления и поставки продукции по которому превышает 12 месяцев;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</w:tbl>
    <w:p w:rsidR="00AD4FE8" w:rsidRDefault="00AD4FE8" w:rsidP="00157554">
      <w:pPr>
        <w:rPr>
          <w:rFonts w:ascii="Times New Roman" w:hAnsi="Times New Roman" w:cs="Times New Roman"/>
          <w:sz w:val="20"/>
          <w:szCs w:val="20"/>
        </w:rPr>
      </w:pPr>
    </w:p>
    <w:sectPr w:rsidR="00AD4FE8" w:rsidSect="001A5912">
      <w:footerReference w:type="default" r:id="rId8"/>
      <w:pgSz w:w="16838" w:h="11906" w:orient="landscape"/>
      <w:pgMar w:top="568" w:right="1134" w:bottom="709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C0" w:rsidRDefault="007F25C0" w:rsidP="00BC6EFB">
      <w:pPr>
        <w:spacing w:after="0" w:line="240" w:lineRule="auto"/>
      </w:pPr>
      <w:r>
        <w:separator/>
      </w:r>
    </w:p>
  </w:endnote>
  <w:end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19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C0" w:rsidRDefault="007F25C0" w:rsidP="00BC6EFB">
      <w:pPr>
        <w:spacing w:after="0" w:line="240" w:lineRule="auto"/>
      </w:pPr>
      <w:r>
        <w:separator/>
      </w:r>
    </w:p>
  </w:footnote>
  <w:foot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1C79"/>
    <w:rsid w:val="00756114"/>
    <w:rsid w:val="00770D7D"/>
    <w:rsid w:val="007750C7"/>
    <w:rsid w:val="00781906"/>
    <w:rsid w:val="007A3B8A"/>
    <w:rsid w:val="007B045C"/>
    <w:rsid w:val="007C0AE5"/>
    <w:rsid w:val="007E424F"/>
    <w:rsid w:val="007F1A5C"/>
    <w:rsid w:val="007F25C0"/>
    <w:rsid w:val="007F7EC7"/>
    <w:rsid w:val="00800555"/>
    <w:rsid w:val="00813990"/>
    <w:rsid w:val="00817853"/>
    <w:rsid w:val="00827365"/>
    <w:rsid w:val="00855181"/>
    <w:rsid w:val="00861907"/>
    <w:rsid w:val="0086312B"/>
    <w:rsid w:val="00871FDF"/>
    <w:rsid w:val="00873F77"/>
    <w:rsid w:val="008760E8"/>
    <w:rsid w:val="008D0055"/>
    <w:rsid w:val="008E15CB"/>
    <w:rsid w:val="00901CE0"/>
    <w:rsid w:val="00902DC8"/>
    <w:rsid w:val="009063B7"/>
    <w:rsid w:val="00907260"/>
    <w:rsid w:val="00907F6A"/>
    <w:rsid w:val="00930698"/>
    <w:rsid w:val="00933A6C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1E8"/>
    <w:rsid w:val="00B20C65"/>
    <w:rsid w:val="00B21960"/>
    <w:rsid w:val="00B2339D"/>
    <w:rsid w:val="00B24C6E"/>
    <w:rsid w:val="00B260CC"/>
    <w:rsid w:val="00B27266"/>
    <w:rsid w:val="00B552F4"/>
    <w:rsid w:val="00B576F3"/>
    <w:rsid w:val="00B654F8"/>
    <w:rsid w:val="00B753B3"/>
    <w:rsid w:val="00B7547C"/>
    <w:rsid w:val="00BA2151"/>
    <w:rsid w:val="00BA6BEB"/>
    <w:rsid w:val="00BB7396"/>
    <w:rsid w:val="00BC6EFB"/>
    <w:rsid w:val="00BD6490"/>
    <w:rsid w:val="00BE56FC"/>
    <w:rsid w:val="00BF1AFF"/>
    <w:rsid w:val="00BF5517"/>
    <w:rsid w:val="00BF6925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20060"/>
    <w:rsid w:val="00D20C65"/>
    <w:rsid w:val="00D26C4B"/>
    <w:rsid w:val="00D4004F"/>
    <w:rsid w:val="00D405BB"/>
    <w:rsid w:val="00D54369"/>
    <w:rsid w:val="00D638B8"/>
    <w:rsid w:val="00D65DB7"/>
    <w:rsid w:val="00D8110A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E004F4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77697"/>
    <w:rsid w:val="00F854A9"/>
    <w:rsid w:val="00F873F3"/>
    <w:rsid w:val="00F91516"/>
    <w:rsid w:val="00F9330D"/>
    <w:rsid w:val="00F94118"/>
    <w:rsid w:val="00F969E4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FB57-B710-47FE-8874-FF1929CF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Никулина Ольга Григорьевна</cp:lastModifiedBy>
  <cp:revision>2</cp:revision>
  <cp:lastPrinted>2022-09-05T11:43:00Z</cp:lastPrinted>
  <dcterms:created xsi:type="dcterms:W3CDTF">2022-09-05T12:13:00Z</dcterms:created>
  <dcterms:modified xsi:type="dcterms:W3CDTF">2022-09-05T12:13:00Z</dcterms:modified>
</cp:coreProperties>
</file>